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0.0" w:type="dxa"/>
        <w:jc w:val="left"/>
        <w:tblInd w:w="-108.0" w:type="dxa"/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204.0" w:type="dxa"/>
              <w:jc w:val="left"/>
              <w:tblLayout w:type="fixed"/>
              <w:tblLook w:val="0000"/>
            </w:tblPr>
            <w:tblGrid>
              <w:gridCol w:w="10204"/>
              <w:tblGridChange w:id="0">
                <w:tblGrid>
                  <w:gridCol w:w="1020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563c1"/>
                      <w:sz w:val="16"/>
                      <w:szCs w:val="16"/>
                      <w:u w:val="single"/>
                      <w:shd w:fill="auto" w:val="clear"/>
                      <w:vertAlign w:val="baseline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Fonts w:ascii="Arial Black" w:cs="Arial Black" w:eastAsia="Arial Black" w:hAnsi="Arial Black"/>
                      <w:b w:val="1"/>
                      <w:i w:val="1"/>
                      <w:smallCaps w:val="0"/>
                      <w:strike w:val="0"/>
                      <w:color w:val="00008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Общество с ограниченной ответственностью</w:t>
                  </w:r>
                  <w:r w:rsidDel="00000000" w:rsidR="00000000" w:rsidRPr="00000000">
                    <w:rPr>
                      <w:rFonts w:ascii="Arial Black" w:cs="Arial Black" w:eastAsia="Arial Black" w:hAnsi="Arial Black"/>
                      <w:b w:val="1"/>
                      <w:i w:val="1"/>
                      <w:smallCaps w:val="0"/>
                      <w:strike w:val="0"/>
                      <w:color w:val="000080"/>
                      <w:sz w:val="56"/>
                      <w:szCs w:val="56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 Black" w:cs="Arial Black" w:eastAsia="Arial Black" w:hAnsi="Arial Black"/>
                      <w:b w:val="1"/>
                      <w:i w:val="1"/>
                      <w:smallCaps w:val="0"/>
                      <w:strike w:val="0"/>
                      <w:color w:val="000080"/>
                      <w:sz w:val="40"/>
                      <w:szCs w:val="40"/>
                      <w:u w:val="none"/>
                      <w:shd w:fill="auto" w:val="clear"/>
                      <w:vertAlign w:val="baseline"/>
                      <w:rtl w:val="0"/>
                    </w:rPr>
                    <w:t xml:space="preserve">«</w:t>
                  </w:r>
                  <w:hyperlink w:anchor="_1fob9te">
                    <w:r w:rsidDel="00000000" w:rsidR="00000000" w:rsidRPr="00000000">
                      <w:rPr>
                        <w:rFonts w:ascii="Arial Black" w:cs="Arial Black" w:eastAsia="Arial Black" w:hAnsi="Arial Black"/>
                        <w:b w:val="1"/>
                        <w:i w:val="1"/>
                        <w:smallCaps w:val="0"/>
                        <w:strike w:val="0"/>
                        <w:color w:val="0563c1"/>
                        <w:sz w:val="40"/>
                        <w:szCs w:val="40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Нефтепродуктообеспечение»</w:t>
                    </w:r>
                  </w:hyperlink>
                  <w:hyperlink w:anchor="_1fob9te">
                    <w:r w:rsidDel="00000000" w:rsidR="00000000" w:rsidRPr="00000000">
                      <w:rPr>
                        <w:rFonts w:ascii="Arial Black" w:cs="Arial Black" w:eastAsia="Arial Black" w:hAnsi="Arial Black"/>
                        <w:b w:val="1"/>
                        <w:i w:val="1"/>
                        <w:smallCaps w:val="0"/>
                        <w:strike w:val="0"/>
                        <w:color w:val="0563c1"/>
                        <w:sz w:val="22"/>
                        <w:szCs w:val="22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 </w:t>
                    </w:r>
                  </w:hyperlink>
                  <w:hyperlink w:anchor="_1fob9te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00000"/>
                        <w:sz w:val="22"/>
                        <w:szCs w:val="22"/>
                        <w:u w:val="none"/>
                        <w:shd w:fill="auto" w:val="clear"/>
                        <w:vertAlign w:val="baseline"/>
                      </w:rPr>
                      <w:drawing>
                        <wp:inline distB="0" distT="0" distL="114300" distR="114300">
                          <wp:extent cx="6477000" cy="645795"/>
                          <wp:effectExtent b="0" l="0" r="0" t="0"/>
                          <wp:docPr id="1" name="image1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1.png"/>
                                  <pic:cNvPicPr preferRelativeResize="0"/>
                                </pic:nvPicPr>
                                <pic:blipFill>
                                  <a:blip r:embed="rId6"/>
                                  <a:srcRect b="0" l="0" r="0" t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77000" cy="64579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hyperlink w:anchor="_1fob9te"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i w:val="0"/>
                        <w:smallCaps w:val="0"/>
                        <w:strike w:val="0"/>
                        <w:color w:val="0563c1"/>
                        <w:sz w:val="16"/>
                        <w:szCs w:val="16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Для корреспонденции: </w:t>
                    </w:r>
                  </w:hyperlink>
                  <w:hyperlink w:anchor="_1fob9te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563c1"/>
                        <w:sz w:val="16"/>
                        <w:szCs w:val="16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РОССИЯ,</w:t>
                    </w:r>
                  </w:hyperlink>
                  <w:hyperlink w:anchor="_1fob9te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563c1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 </w:t>
                    </w:r>
                  </w:hyperlink>
                  <w:r w:rsidDel="00000000" w:rsidR="00000000" w:rsidRPr="00000000">
                    <w:fldChar w:fldCharType="begin"/>
                    <w:instrText xml:space="preserve"> HYPERLINK \l "_1fob9te" </w:instrText>
                    <w:fldChar w:fldCharType="separate"/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563c1"/>
                      <w:sz w:val="16"/>
                      <w:szCs w:val="16"/>
                      <w:u w:val="single"/>
                      <w:shd w:fill="auto" w:val="clear"/>
                      <w:vertAlign w:val="baseline"/>
                      <w:rtl w:val="0"/>
                    </w:rPr>
                    <w:t xml:space="preserve">121099, Москва, Новинский б-р, 13, стр.4 офис 110</w:t>
                  </w:r>
                </w:p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fldChar w:fldCharType="end"/>
                  </w:r>
                  <w:hyperlink w:anchor="_1fob9te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563c1"/>
                        <w:sz w:val="12"/>
                        <w:szCs w:val="12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 </w:t>
                    </w:r>
                  </w:hyperlink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«Нефтепродуктообеспечение»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сокращенное наименование ООО «НПО»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 Кондратов Владимир Александрович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действует на основании Устава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ИНН: 7719426048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КПП: 771801001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ОГРН: 1157746903820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ОКПО 51116715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ОКВЭД: 51.51, 65.23.3, 74,84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Юридический адрес: </w:t>
      </w:r>
      <w:r w:rsidDel="00000000" w:rsidR="00000000" w:rsidRPr="00000000">
        <w:rPr>
          <w:sz w:val="24"/>
          <w:szCs w:val="24"/>
          <w:rtl w:val="0"/>
        </w:rPr>
        <w:t xml:space="preserve">107076, Москва Матросская Тишина д.23, стр.1, пом. 5/1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местонахождения: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c28"/>
          <w:sz w:val="54"/>
          <w:szCs w:val="5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121099, г. Москва, Новинский б-р, 13, стр.4 офис 106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Почтовый адрес: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121099, г. Москва, Новинский б-р, 13, стр.4 офис 106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Тел: 8 (495) 532-40-88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info@npobroker.ru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clients@npobroker.ru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Банковские реквизиты: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Р/сч № 40702810450000001273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ЦМРБанк (ООО),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 044525059, к/с 30101810345250000059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44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npobroker.ru" TargetMode="External"/><Relationship Id="rId8" Type="http://schemas.openxmlformats.org/officeDocument/2006/relationships/hyperlink" Target="mailto:clients@npobrok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